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33773" w14:textId="5408635F" w:rsidR="003015E3" w:rsidRDefault="003015E3" w:rsidP="003015E3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Thank you for your interest in the Estate Planning Council!</w:t>
      </w:r>
    </w:p>
    <w:p w14:paraId="60D91451" w14:textId="77777777" w:rsidR="003015E3" w:rsidRDefault="003015E3" w:rsidP="003015E3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</w:p>
    <w:p w14:paraId="2BFD7055" w14:textId="1DF587F9" w:rsidR="003015E3" w:rsidRDefault="003015E3" w:rsidP="003015E3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Our council meets at the Pensacola Yacht Club on Tuesday evenings. A calendar with specific dates can be found on the next page. The meetings begin at 5:30 with about 30 minutes of networking followed by dinner and a presentation. Guests are welcome at all meetings; your first visit in on us. Any repeat visits will incur a $35 dinner fee. If you end up becoming a Council Member at that meeting, your dinner fee will go towards your annual dues.</w:t>
      </w:r>
    </w:p>
    <w:p w14:paraId="66D5F25E" w14:textId="77777777" w:rsidR="003015E3" w:rsidRDefault="003015E3" w:rsidP="003015E3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</w:p>
    <w:p w14:paraId="34CB2EAB" w14:textId="77777777" w:rsidR="003015E3" w:rsidRDefault="003015E3" w:rsidP="003015E3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Membership is open to professionals actively practicing estate planning, or matters</w:t>
      </w:r>
    </w:p>
    <w:p w14:paraId="71CA1C07" w14:textId="77777777" w:rsidR="003015E3" w:rsidRDefault="003015E3" w:rsidP="003015E3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directly related to estate planning, within 150 miles of Pensacola in the following</w:t>
      </w:r>
    </w:p>
    <w:p w14:paraId="71A22470" w14:textId="1D19D4F4" w:rsidR="003015E3" w:rsidRDefault="003015E3" w:rsidP="003015E3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disciplines:</w:t>
      </w:r>
    </w:p>
    <w:p w14:paraId="030B486C" w14:textId="77777777" w:rsidR="00215D05" w:rsidRDefault="00215D05" w:rsidP="003015E3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</w:p>
    <w:p w14:paraId="745CCC1A" w14:textId="77777777" w:rsidR="003015E3" w:rsidRPr="003015E3" w:rsidRDefault="003015E3" w:rsidP="003015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 w:rsidRPr="003015E3">
        <w:rPr>
          <w:rFonts w:ascii="BookAntiqua" w:hAnsi="BookAntiqua" w:cs="BookAntiqua"/>
          <w:sz w:val="24"/>
          <w:szCs w:val="24"/>
        </w:rPr>
        <w:t>Trust Officers of trust companies and banks having fiduciary powers</w:t>
      </w:r>
    </w:p>
    <w:p w14:paraId="270F058C" w14:textId="77777777" w:rsidR="003015E3" w:rsidRPr="003015E3" w:rsidRDefault="003015E3" w:rsidP="003015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 w:rsidRPr="003015E3">
        <w:rPr>
          <w:rFonts w:ascii="BookAntiqua" w:hAnsi="BookAntiqua" w:cs="BookAntiqua"/>
          <w:sz w:val="24"/>
          <w:szCs w:val="24"/>
        </w:rPr>
        <w:t>Members of the Florida Bar</w:t>
      </w:r>
    </w:p>
    <w:p w14:paraId="06548855" w14:textId="77777777" w:rsidR="003015E3" w:rsidRPr="003015E3" w:rsidRDefault="003015E3" w:rsidP="003015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 w:rsidRPr="003015E3">
        <w:rPr>
          <w:rFonts w:ascii="BookAntiqua" w:hAnsi="BookAntiqua" w:cs="BookAntiqua"/>
          <w:sz w:val="24"/>
          <w:szCs w:val="24"/>
        </w:rPr>
        <w:t>Certified Public Accountants</w:t>
      </w:r>
    </w:p>
    <w:p w14:paraId="73FEC864" w14:textId="77777777" w:rsidR="003015E3" w:rsidRPr="003015E3" w:rsidRDefault="003015E3" w:rsidP="003015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 w:rsidRPr="003015E3">
        <w:rPr>
          <w:rFonts w:ascii="BookAntiqua" w:hAnsi="BookAntiqua" w:cs="BookAntiqua"/>
          <w:sz w:val="24"/>
          <w:szCs w:val="24"/>
        </w:rPr>
        <w:t>Financial Service Providers – holding one or more of the following designations:</w:t>
      </w:r>
    </w:p>
    <w:p w14:paraId="105AA848" w14:textId="77777777" w:rsidR="003015E3" w:rsidRPr="003015E3" w:rsidRDefault="003015E3" w:rsidP="003015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 w:rsidRPr="003015E3">
        <w:rPr>
          <w:rFonts w:ascii="BookAntiqua" w:hAnsi="BookAntiqua" w:cs="BookAntiqua"/>
          <w:sz w:val="24"/>
          <w:szCs w:val="24"/>
        </w:rPr>
        <w:t>Accredited Estate Planner</w:t>
      </w:r>
    </w:p>
    <w:p w14:paraId="00F680B1" w14:textId="77777777" w:rsidR="003015E3" w:rsidRPr="003015E3" w:rsidRDefault="003015E3" w:rsidP="003015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 w:rsidRPr="003015E3">
        <w:rPr>
          <w:rFonts w:ascii="BookAntiqua" w:hAnsi="BookAntiqua" w:cs="BookAntiqua"/>
          <w:sz w:val="24"/>
          <w:szCs w:val="24"/>
        </w:rPr>
        <w:t>Chartered Life Underwriter</w:t>
      </w:r>
    </w:p>
    <w:p w14:paraId="0BB3B210" w14:textId="77777777" w:rsidR="003015E3" w:rsidRPr="003015E3" w:rsidRDefault="003015E3" w:rsidP="003015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 w:rsidRPr="003015E3">
        <w:rPr>
          <w:rFonts w:ascii="BookAntiqua" w:hAnsi="BookAntiqua" w:cs="BookAntiqua"/>
          <w:sz w:val="24"/>
          <w:szCs w:val="24"/>
        </w:rPr>
        <w:t>Certified Financial Planner</w:t>
      </w:r>
    </w:p>
    <w:p w14:paraId="07C2C64A" w14:textId="77777777" w:rsidR="003015E3" w:rsidRPr="003015E3" w:rsidRDefault="003015E3" w:rsidP="003015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 w:rsidRPr="003015E3">
        <w:rPr>
          <w:rFonts w:ascii="BookAntiqua" w:hAnsi="BookAntiqua" w:cs="BookAntiqua"/>
          <w:sz w:val="24"/>
          <w:szCs w:val="24"/>
        </w:rPr>
        <w:t>Chartered Financial Consultant</w:t>
      </w:r>
    </w:p>
    <w:p w14:paraId="563DC5E2" w14:textId="77777777" w:rsidR="003015E3" w:rsidRPr="003015E3" w:rsidRDefault="003015E3" w:rsidP="003015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 w:rsidRPr="003015E3">
        <w:rPr>
          <w:rFonts w:ascii="BookAntiqua" w:hAnsi="BookAntiqua" w:cs="BookAntiqua"/>
          <w:sz w:val="24"/>
          <w:szCs w:val="24"/>
        </w:rPr>
        <w:t>Juris Doctor</w:t>
      </w:r>
    </w:p>
    <w:p w14:paraId="1ADD4BC1" w14:textId="77777777" w:rsidR="003015E3" w:rsidRPr="003015E3" w:rsidRDefault="003015E3" w:rsidP="003015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 w:rsidRPr="003015E3">
        <w:rPr>
          <w:rFonts w:ascii="BookAntiqua" w:hAnsi="BookAntiqua" w:cs="BookAntiqua"/>
          <w:sz w:val="24"/>
          <w:szCs w:val="24"/>
        </w:rPr>
        <w:t>Certified Public Accountant</w:t>
      </w:r>
    </w:p>
    <w:p w14:paraId="36AFE269" w14:textId="478F53EE" w:rsidR="003015E3" w:rsidRDefault="003015E3" w:rsidP="003015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 w:rsidRPr="003015E3">
        <w:rPr>
          <w:rFonts w:ascii="BookAntiqua" w:hAnsi="BookAntiqua" w:cs="BookAntiqua"/>
          <w:sz w:val="24"/>
          <w:szCs w:val="24"/>
        </w:rPr>
        <w:t>Certified Trust and Financial Advisor</w:t>
      </w:r>
    </w:p>
    <w:p w14:paraId="6093A408" w14:textId="77777777" w:rsidR="003015E3" w:rsidRPr="003015E3" w:rsidRDefault="003015E3" w:rsidP="003015E3">
      <w:pPr>
        <w:pStyle w:val="ListParagraph"/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</w:p>
    <w:p w14:paraId="148DB1EF" w14:textId="77777777" w:rsidR="003015E3" w:rsidRDefault="003015E3" w:rsidP="003015E3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We also have categories of “Special Member”, which is someone who regularly</w:t>
      </w:r>
    </w:p>
    <w:p w14:paraId="1AEFE4DC" w14:textId="77777777" w:rsidR="003015E3" w:rsidRDefault="003015E3" w:rsidP="003015E3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practices estate planning but does not meet the above qualifications, and “Associate</w:t>
      </w:r>
    </w:p>
    <w:p w14:paraId="002B86E5" w14:textId="77777777" w:rsidR="003015E3" w:rsidRDefault="003015E3" w:rsidP="003015E3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Member”, which is someone who regularly practices estate planning and is working</w:t>
      </w:r>
    </w:p>
    <w:p w14:paraId="20E2B0CC" w14:textId="77777777" w:rsidR="003015E3" w:rsidRDefault="003015E3" w:rsidP="003015E3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toward a designation that will qualify them in the future. Special Members are</w:t>
      </w:r>
    </w:p>
    <w:p w14:paraId="33A53F07" w14:textId="77777777" w:rsidR="003015E3" w:rsidRDefault="003015E3" w:rsidP="003015E3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approved solely at the discretion of the board, have no voting rights and cannot be an</w:t>
      </w:r>
    </w:p>
    <w:p w14:paraId="656FCB41" w14:textId="77777777" w:rsidR="003015E3" w:rsidRDefault="003015E3" w:rsidP="003015E3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officer or director. Associate Members have no voting rights and cannot be an officer or</w:t>
      </w:r>
    </w:p>
    <w:p w14:paraId="0CD5630B" w14:textId="77777777" w:rsidR="003015E3" w:rsidRDefault="003015E3" w:rsidP="003015E3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 xml:space="preserve">director. Their membership will convert to “regular” status upon achieving </w:t>
      </w:r>
      <w:proofErr w:type="gramStart"/>
      <w:r>
        <w:rPr>
          <w:rFonts w:ascii="BookAntiqua" w:hAnsi="BookAntiqua" w:cs="BookAntiqua"/>
          <w:sz w:val="24"/>
          <w:szCs w:val="24"/>
        </w:rPr>
        <w:t>their</w:t>
      </w:r>
      <w:proofErr w:type="gramEnd"/>
    </w:p>
    <w:p w14:paraId="71455C15" w14:textId="6279782E" w:rsidR="003015E3" w:rsidRDefault="003015E3" w:rsidP="003015E3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respective credential.</w:t>
      </w:r>
    </w:p>
    <w:p w14:paraId="69046575" w14:textId="77777777" w:rsidR="003015E3" w:rsidRDefault="003015E3" w:rsidP="003015E3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</w:p>
    <w:p w14:paraId="0CEA8F96" w14:textId="4D9183C8" w:rsidR="003015E3" w:rsidRDefault="003015E3" w:rsidP="003015E3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Our annual dues are $250 and entitle you to attend regular meetings without additional</w:t>
      </w:r>
    </w:p>
    <w:p w14:paraId="1D932E02" w14:textId="77777777" w:rsidR="003015E3" w:rsidRDefault="003015E3" w:rsidP="003015E3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charge. We hold a CE seminar in the fall at least every other year (they have been</w:t>
      </w:r>
    </w:p>
    <w:p w14:paraId="3258C544" w14:textId="77777777" w:rsidR="003015E3" w:rsidRDefault="003015E3" w:rsidP="003015E3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annually of late) for which we sometimes charge members a small amount to attend.</w:t>
      </w:r>
    </w:p>
    <w:p w14:paraId="12948092" w14:textId="77777777" w:rsidR="003015E3" w:rsidRDefault="003015E3" w:rsidP="003015E3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We ask applicants to be endorsed by two current members of our council: one member</w:t>
      </w:r>
    </w:p>
    <w:p w14:paraId="519D2711" w14:textId="1BA86C01" w:rsidR="00215D05" w:rsidRDefault="003015E3" w:rsidP="003015E3">
      <w:pPr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from the applicant’s own discipline and one member from another discipline.</w:t>
      </w:r>
    </w:p>
    <w:p w14:paraId="274416F7" w14:textId="77777777" w:rsidR="00215D05" w:rsidRDefault="00215D05">
      <w:pPr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br w:type="page"/>
      </w:r>
    </w:p>
    <w:p w14:paraId="2B69F9FF" w14:textId="15DC39B7" w:rsidR="00FA3A72" w:rsidRDefault="00215D05" w:rsidP="00215D05">
      <w:pPr>
        <w:jc w:val="center"/>
        <w:rPr>
          <w:rFonts w:ascii="Book Antiqua" w:hAnsi="Book Antiqua"/>
          <w:sz w:val="28"/>
        </w:rPr>
      </w:pPr>
      <w:r w:rsidRPr="00215D05">
        <w:rPr>
          <w:rFonts w:ascii="Book Antiqua" w:hAnsi="Book Antiqua"/>
          <w:sz w:val="28"/>
        </w:rPr>
        <w:lastRenderedPageBreak/>
        <w:t>The Estate Planning Council of Northwest Florida’s 2018 Calendar</w:t>
      </w:r>
    </w:p>
    <w:p w14:paraId="66D1DC57" w14:textId="1BFEEB3F" w:rsidR="00215D05" w:rsidRDefault="00215D05" w:rsidP="00215D05">
      <w:pPr>
        <w:jc w:val="center"/>
        <w:rPr>
          <w:rFonts w:ascii="Book Antiqua" w:hAnsi="Book Antiqua"/>
          <w:sz w:val="28"/>
        </w:rPr>
      </w:pPr>
    </w:p>
    <w:p w14:paraId="1D938A1C" w14:textId="0E198E94" w:rsidR="00215D05" w:rsidRDefault="00215D05" w:rsidP="00215D05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January 16</w:t>
      </w:r>
      <w:bookmarkStart w:id="0" w:name="_GoBack"/>
      <w:bookmarkEnd w:id="0"/>
    </w:p>
    <w:p w14:paraId="52EE38C4" w14:textId="5D9AEEC9" w:rsidR="00215D05" w:rsidRDefault="00215D05" w:rsidP="00215D05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February 20</w:t>
      </w:r>
    </w:p>
    <w:p w14:paraId="1BC76D96" w14:textId="2B2D8204" w:rsidR="00215D05" w:rsidRDefault="00215D05" w:rsidP="00215D05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March 20</w:t>
      </w:r>
    </w:p>
    <w:p w14:paraId="0BE1ADF8" w14:textId="50912AE2" w:rsidR="00215D05" w:rsidRDefault="00215D05" w:rsidP="00215D05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April 24</w:t>
      </w:r>
    </w:p>
    <w:p w14:paraId="6C270A7F" w14:textId="66B29816" w:rsidR="00215D05" w:rsidRDefault="00215D05" w:rsidP="00215D05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May 15</w:t>
      </w:r>
    </w:p>
    <w:p w14:paraId="6C816E77" w14:textId="1EDF653A" w:rsidR="00215D05" w:rsidRDefault="00215D05" w:rsidP="00215D05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No June or July meetings</w:t>
      </w:r>
    </w:p>
    <w:p w14:paraId="58157D4C" w14:textId="55769CF7" w:rsidR="00215D05" w:rsidRDefault="00215D05" w:rsidP="00215D05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August 21</w:t>
      </w:r>
    </w:p>
    <w:p w14:paraId="42709B1A" w14:textId="395F8DE8" w:rsidR="00215D05" w:rsidRDefault="00215D05" w:rsidP="00215D05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September 18</w:t>
      </w:r>
    </w:p>
    <w:p w14:paraId="21D3C211" w14:textId="604415E1" w:rsidR="00215D05" w:rsidRDefault="00215D05" w:rsidP="00215D05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October 16</w:t>
      </w:r>
    </w:p>
    <w:p w14:paraId="2F084C0E" w14:textId="3C9FF260" w:rsidR="00215D05" w:rsidRDefault="00215D05" w:rsidP="00215D05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November 13</w:t>
      </w:r>
    </w:p>
    <w:p w14:paraId="5F222583" w14:textId="4B1D5F33" w:rsidR="00215D05" w:rsidRPr="00215D05" w:rsidRDefault="00215D05" w:rsidP="00215D05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No December meeting</w:t>
      </w:r>
    </w:p>
    <w:sectPr w:rsidR="00215D05" w:rsidRPr="00215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Antiqu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246F9"/>
    <w:multiLevelType w:val="hybridMultilevel"/>
    <w:tmpl w:val="24EE4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E3"/>
    <w:rsid w:val="001E0B96"/>
    <w:rsid w:val="00215D05"/>
    <w:rsid w:val="003015E3"/>
    <w:rsid w:val="00FA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85870"/>
  <w15:chartTrackingRefBased/>
  <w15:docId w15:val="{AB7C2DCE-6ED0-4E7C-8C05-03C100DD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Lambert</dc:creator>
  <cp:keywords/>
  <dc:description/>
  <cp:lastModifiedBy>Lindsey Lambert</cp:lastModifiedBy>
  <cp:revision>2</cp:revision>
  <dcterms:created xsi:type="dcterms:W3CDTF">2018-03-23T20:32:00Z</dcterms:created>
  <dcterms:modified xsi:type="dcterms:W3CDTF">2018-03-23T20:44:00Z</dcterms:modified>
</cp:coreProperties>
</file>